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CA" w:rsidRPr="00C91728" w:rsidRDefault="008D14CA">
      <w:pPr>
        <w:pStyle w:val="berschrift1"/>
        <w:jc w:val="center"/>
        <w:rPr>
          <w:rFonts w:ascii="Century Gothic" w:hAnsi="Century Gothic" w:cs="Arial"/>
          <w:b w:val="0"/>
          <w:bCs w:val="0"/>
          <w:sz w:val="36"/>
          <w:u w:val="single"/>
        </w:rPr>
      </w:pPr>
      <w:r w:rsidRPr="00C91728">
        <w:rPr>
          <w:rFonts w:ascii="Century Gothic" w:hAnsi="Century Gothic" w:cs="Arial"/>
          <w:b w:val="0"/>
          <w:bCs w:val="0"/>
          <w:sz w:val="36"/>
          <w:u w:val="single"/>
        </w:rPr>
        <w:t>Vollmacht</w:t>
      </w:r>
    </w:p>
    <w:p w:rsidR="008D14CA" w:rsidRPr="00C91728" w:rsidRDefault="008D14CA">
      <w:pPr>
        <w:rPr>
          <w:rFonts w:cs="Arial"/>
        </w:rPr>
      </w:pPr>
      <w:bookmarkStart w:id="0" w:name="_GoBack"/>
    </w:p>
    <w:bookmarkEnd w:id="0"/>
    <w:p w:rsidR="008D14CA" w:rsidRDefault="008D14CA" w:rsidP="0022149A">
      <w:pPr>
        <w:rPr>
          <w:rFonts w:cs="Arial"/>
          <w:sz w:val="20"/>
        </w:rPr>
      </w:pPr>
      <w:r>
        <w:rPr>
          <w:rFonts w:cs="Arial"/>
          <w:sz w:val="20"/>
        </w:rPr>
        <w:t xml:space="preserve">Den </w:t>
      </w:r>
    </w:p>
    <w:p w:rsidR="008D14CA" w:rsidRDefault="008D14CA" w:rsidP="0022149A">
      <w:pPr>
        <w:pStyle w:val="berschrift3"/>
        <w:rPr>
          <w:rFonts w:ascii="Century Gothic" w:hAnsi="Century Gothic" w:cs="Arial"/>
          <w:bCs w:val="0"/>
          <w:sz w:val="28"/>
          <w:szCs w:val="32"/>
        </w:rPr>
      </w:pPr>
    </w:p>
    <w:p w:rsidR="008D14CA" w:rsidRDefault="008D14CA" w:rsidP="0022149A">
      <w:pPr>
        <w:pStyle w:val="berschrift3"/>
        <w:rPr>
          <w:rFonts w:ascii="Century Gothic" w:hAnsi="Century Gothic"/>
          <w:bCs w:val="0"/>
          <w:sz w:val="28"/>
          <w:szCs w:val="32"/>
        </w:rPr>
      </w:pPr>
      <w:r w:rsidRPr="00C91728">
        <w:rPr>
          <w:rFonts w:ascii="Century Gothic" w:hAnsi="Century Gothic" w:cs="Arial"/>
          <w:bCs w:val="0"/>
          <w:sz w:val="28"/>
          <w:szCs w:val="32"/>
        </w:rPr>
        <w:t>Rechtsanwälte</w:t>
      </w:r>
      <w:r>
        <w:rPr>
          <w:rFonts w:ascii="Century Gothic" w:hAnsi="Century Gothic" w:cs="Arial"/>
          <w:bCs w:val="0"/>
          <w:sz w:val="28"/>
          <w:szCs w:val="32"/>
        </w:rPr>
        <w:t xml:space="preserve">n </w:t>
      </w:r>
      <w:r>
        <w:rPr>
          <w:rFonts w:ascii="Century Gothic" w:hAnsi="Century Gothic"/>
          <w:bCs w:val="0"/>
          <w:sz w:val="28"/>
          <w:szCs w:val="32"/>
        </w:rPr>
        <w:t xml:space="preserve">Ottokar </w:t>
      </w:r>
      <w:r w:rsidRPr="00C91728">
        <w:rPr>
          <w:rFonts w:ascii="Century Gothic" w:hAnsi="Century Gothic"/>
          <w:bCs w:val="0"/>
          <w:sz w:val="28"/>
          <w:szCs w:val="32"/>
        </w:rPr>
        <w:t>Geiger</w:t>
      </w:r>
      <w:r w:rsidRPr="00C91728">
        <w:rPr>
          <w:rFonts w:ascii="Century Gothic" w:hAnsi="Century Gothic"/>
          <w:color w:val="3366FF"/>
          <w:sz w:val="28"/>
          <w:szCs w:val="32"/>
        </w:rPr>
        <w:t xml:space="preserve"> </w:t>
      </w:r>
      <w:r w:rsidRPr="005F1CA8">
        <w:rPr>
          <w:rFonts w:ascii="Century Gothic" w:hAnsi="Century Gothic"/>
          <w:color w:val="000000"/>
          <w:sz w:val="28"/>
          <w:szCs w:val="32"/>
        </w:rPr>
        <w:t>♦</w:t>
      </w:r>
      <w:r>
        <w:rPr>
          <w:rFonts w:ascii="Century Gothic" w:hAnsi="Century Gothic"/>
          <w:color w:val="92D050"/>
          <w:sz w:val="28"/>
          <w:szCs w:val="32"/>
        </w:rPr>
        <w:t xml:space="preserve"> </w:t>
      </w:r>
      <w:r>
        <w:rPr>
          <w:rFonts w:ascii="Century Gothic" w:hAnsi="Century Gothic"/>
          <w:sz w:val="28"/>
          <w:szCs w:val="32"/>
        </w:rPr>
        <w:t>Thiemo</w:t>
      </w:r>
      <w:r w:rsidRPr="00C91728">
        <w:rPr>
          <w:rFonts w:ascii="Century Gothic" w:hAnsi="Century Gothic"/>
          <w:bCs w:val="0"/>
          <w:sz w:val="28"/>
          <w:szCs w:val="32"/>
        </w:rPr>
        <w:t xml:space="preserve"> Rosenfeld</w:t>
      </w:r>
      <w:r>
        <w:rPr>
          <w:rFonts w:ascii="Century Gothic" w:hAnsi="Century Gothic"/>
          <w:bCs w:val="0"/>
          <w:sz w:val="28"/>
          <w:szCs w:val="32"/>
        </w:rPr>
        <w:t xml:space="preserve"> ♦</w:t>
      </w:r>
      <w:r w:rsidRPr="00C91728">
        <w:rPr>
          <w:rFonts w:ascii="Century Gothic" w:hAnsi="Century Gothic"/>
          <w:bCs w:val="0"/>
          <w:sz w:val="28"/>
          <w:szCs w:val="32"/>
        </w:rPr>
        <w:t xml:space="preserve"> </w:t>
      </w:r>
      <w:r>
        <w:rPr>
          <w:rFonts w:ascii="Century Gothic" w:hAnsi="Century Gothic"/>
          <w:bCs w:val="0"/>
          <w:sz w:val="28"/>
          <w:szCs w:val="32"/>
        </w:rPr>
        <w:t xml:space="preserve">Aylin Kayalar </w:t>
      </w:r>
    </w:p>
    <w:p w:rsidR="008D14CA" w:rsidRPr="0022149A" w:rsidRDefault="008D14CA" w:rsidP="0022149A">
      <w:pPr>
        <w:pStyle w:val="berschrift4"/>
        <w:jc w:val="right"/>
        <w:rPr>
          <w:rFonts w:ascii="Century Gothic" w:hAnsi="Century Gothic"/>
          <w:b w:val="0"/>
          <w:bCs w:val="0"/>
          <w:sz w:val="20"/>
          <w:szCs w:val="32"/>
        </w:rPr>
      </w:pPr>
      <w:r>
        <w:rPr>
          <w:rFonts w:ascii="Century Gothic" w:hAnsi="Century Gothic"/>
          <w:b w:val="0"/>
          <w:bCs w:val="0"/>
          <w:sz w:val="20"/>
          <w:szCs w:val="32"/>
        </w:rPr>
        <w:t>- je einzeln</w:t>
      </w:r>
    </w:p>
    <w:p w:rsidR="008D14CA" w:rsidRPr="00C91728" w:rsidRDefault="008D14CA" w:rsidP="0022149A">
      <w:pPr>
        <w:pStyle w:val="berschrift4"/>
        <w:rPr>
          <w:rFonts w:ascii="Century Gothic" w:hAnsi="Century Gothic"/>
          <w:bCs w:val="0"/>
          <w:sz w:val="28"/>
          <w:szCs w:val="32"/>
        </w:rPr>
      </w:pPr>
      <w:r w:rsidRPr="00C91728">
        <w:rPr>
          <w:rFonts w:ascii="Century Gothic" w:hAnsi="Century Gothic"/>
          <w:bCs w:val="0"/>
          <w:sz w:val="28"/>
          <w:szCs w:val="32"/>
        </w:rPr>
        <w:t>Karlstr. 9</w:t>
      </w:r>
    </w:p>
    <w:p w:rsidR="008D14CA" w:rsidRPr="00C91728" w:rsidRDefault="008D14CA" w:rsidP="0022149A">
      <w:pPr>
        <w:pStyle w:val="berschrift2"/>
        <w:rPr>
          <w:rFonts w:ascii="Century Gothic" w:hAnsi="Century Gothic" w:cs="Arial"/>
          <w:bCs w:val="0"/>
          <w:szCs w:val="32"/>
        </w:rPr>
      </w:pPr>
      <w:r w:rsidRPr="00C91728">
        <w:rPr>
          <w:rFonts w:ascii="Century Gothic" w:hAnsi="Century Gothic" w:cs="Arial"/>
          <w:bCs w:val="0"/>
          <w:szCs w:val="32"/>
        </w:rPr>
        <w:t>73312 Geislingen</w:t>
      </w:r>
    </w:p>
    <w:p w:rsidR="008D14CA" w:rsidRPr="00C91728" w:rsidRDefault="008D14CA">
      <w:pPr>
        <w:rPr>
          <w:rFonts w:cs="Arial"/>
          <w:sz w:val="18"/>
        </w:rPr>
      </w:pPr>
      <w:r>
        <w:rPr>
          <w:rFonts w:cs="Arial"/>
          <w:sz w:val="18"/>
        </w:rPr>
        <w:t>wird in Sachen</w:t>
      </w:r>
    </w:p>
    <w:p w:rsidR="008D14CA" w:rsidRDefault="008D14CA">
      <w:pPr>
        <w:rPr>
          <w:rFonts w:cs="Arial"/>
          <w:i/>
          <w:iCs/>
          <w:color w:val="FF00FF"/>
        </w:rPr>
      </w:pPr>
      <w:r w:rsidRPr="00C91728">
        <w:rPr>
          <w:rFonts w:cs="Arial"/>
          <w:i/>
          <w:iCs/>
          <w:color w:val="FF00FF"/>
        </w:rPr>
        <w:t xml:space="preserve"> </w:t>
      </w:r>
    </w:p>
    <w:p w:rsidR="008D14CA" w:rsidRDefault="008D14CA">
      <w:pPr>
        <w:rPr>
          <w:rFonts w:cs="Arial"/>
        </w:rPr>
      </w:pPr>
      <w:r>
        <w:rPr>
          <w:rFonts w:cs="Arial"/>
          <w:i/>
          <w:iCs/>
          <w:color w:val="FF00FF"/>
        </w:rPr>
        <w:tab/>
      </w:r>
    </w:p>
    <w:p w:rsidR="008D14CA" w:rsidRDefault="008D14CA">
      <w:pPr>
        <w:rPr>
          <w:rFonts w:cs="Arial"/>
        </w:rPr>
      </w:pPr>
    </w:p>
    <w:p w:rsidR="008D14CA" w:rsidRPr="00C91728" w:rsidRDefault="008D14CA">
      <w:pPr>
        <w:rPr>
          <w:rFonts w:cs="Arial"/>
          <w:b/>
          <w:sz w:val="28"/>
          <w:szCs w:val="32"/>
        </w:rPr>
      </w:pPr>
      <w:r w:rsidRPr="00C91728">
        <w:rPr>
          <w:rFonts w:cs="Arial"/>
        </w:rPr>
        <w:t>wegen</w:t>
      </w:r>
      <w:r w:rsidRPr="00C91728">
        <w:rPr>
          <w:rFonts w:cs="Arial"/>
        </w:rPr>
        <w:tab/>
      </w:r>
      <w:r w:rsidRPr="00C91728">
        <w:rPr>
          <w:rFonts w:cs="Arial"/>
        </w:rPr>
        <w:tab/>
        <w:t xml:space="preserve"> </w:t>
      </w:r>
    </w:p>
    <w:p w:rsidR="008D14CA" w:rsidRDefault="008D14CA">
      <w:pPr>
        <w:rPr>
          <w:rFonts w:cs="Arial"/>
        </w:rPr>
      </w:pPr>
    </w:p>
    <w:p w:rsidR="008D14CA" w:rsidRDefault="008D14CA">
      <w:pPr>
        <w:rPr>
          <w:rFonts w:cs="Arial"/>
        </w:rPr>
      </w:pPr>
    </w:p>
    <w:p w:rsidR="008D14CA" w:rsidRPr="00C91728" w:rsidRDefault="008D14CA">
      <w:pPr>
        <w:rPr>
          <w:rFonts w:cs="Arial"/>
        </w:rPr>
      </w:pPr>
      <w:r w:rsidRPr="00C91728">
        <w:rPr>
          <w:rFonts w:cs="Arial"/>
        </w:rPr>
        <w:t>Vollmacht</w:t>
      </w:r>
      <w:r>
        <w:rPr>
          <w:rFonts w:cs="Arial"/>
        </w:rPr>
        <w:t xml:space="preserve"> erteilt</w:t>
      </w:r>
      <w:r w:rsidRPr="00C91728">
        <w:rPr>
          <w:rFonts w:cs="Arial"/>
        </w:rPr>
        <w:t>.</w:t>
      </w:r>
    </w:p>
    <w:p w:rsidR="008D14CA" w:rsidRPr="0022149A" w:rsidRDefault="008D14CA">
      <w:pPr>
        <w:rPr>
          <w:rFonts w:cs="Arial"/>
        </w:rPr>
      </w:pPr>
    </w:p>
    <w:p w:rsidR="008D14CA" w:rsidRPr="0022149A" w:rsidRDefault="008D14CA" w:rsidP="008D14CA">
      <w:pPr>
        <w:numPr>
          <w:ilvl w:val="0"/>
          <w:numId w:val="1"/>
        </w:numPr>
        <w:spacing w:line="240" w:lineRule="auto"/>
        <w:jc w:val="both"/>
        <w:rPr>
          <w:rFonts w:cs="Arial"/>
        </w:rPr>
      </w:pPr>
      <w:r w:rsidRPr="0022149A">
        <w:rPr>
          <w:rFonts w:cs="Arial"/>
        </w:rPr>
        <w:t>Zur Prozessführung (u.a. nach §§ 81 ff. ZPO) einschließlich der Befugnis zur Erhebung und Zurücknahme von Widerklagen, sowie für Arrest- und einstweilige Verfügungsverfahren;</w:t>
      </w:r>
    </w:p>
    <w:p w:rsidR="008D14CA" w:rsidRPr="0022149A" w:rsidRDefault="008D14CA" w:rsidP="008D14CA">
      <w:pPr>
        <w:numPr>
          <w:ilvl w:val="0"/>
          <w:numId w:val="1"/>
        </w:numPr>
        <w:spacing w:line="240" w:lineRule="auto"/>
        <w:jc w:val="both"/>
        <w:rPr>
          <w:rFonts w:cs="Arial"/>
        </w:rPr>
      </w:pPr>
      <w:r w:rsidRPr="0022149A">
        <w:rPr>
          <w:rFonts w:cs="Arial"/>
        </w:rPr>
        <w:t xml:space="preserve">zur Vertretung in sonstigen Angelegenheiten und Verfahren bei außergerichtlichen Verhandlungen aller Art (insbesondere in Unfallsachen zur Geltendmachung von Ansprüchen gegen Schädiger, Fahrzeughalter und deren Versicherer);  </w:t>
      </w:r>
    </w:p>
    <w:p w:rsidR="008D14CA" w:rsidRPr="0022149A" w:rsidRDefault="008D14CA" w:rsidP="008D14CA">
      <w:pPr>
        <w:numPr>
          <w:ilvl w:val="0"/>
          <w:numId w:val="1"/>
        </w:numPr>
        <w:spacing w:line="240" w:lineRule="auto"/>
        <w:jc w:val="both"/>
        <w:rPr>
          <w:rFonts w:cs="Arial"/>
        </w:rPr>
      </w:pPr>
      <w:r w:rsidRPr="0022149A">
        <w:rPr>
          <w:rFonts w:cs="Arial"/>
        </w:rPr>
        <w:t xml:space="preserve">zur Begründung und Aufhebung von Vertragsverhältnissen und zur Abgabe und Entgegennahme von einseitigen Willenserklärungen (z.B. Kündigungen, Freigabeerklärungen in Hinterlegungsverfahren) im Zusammenhang mit der oben und „wegen ...“ genannten Angelegenheit. </w:t>
      </w:r>
    </w:p>
    <w:p w:rsidR="008D14CA" w:rsidRPr="0022149A" w:rsidRDefault="008D14CA">
      <w:pPr>
        <w:rPr>
          <w:rFonts w:cs="Arial"/>
        </w:rPr>
      </w:pPr>
    </w:p>
    <w:p w:rsidR="008D14CA" w:rsidRPr="0022149A" w:rsidRDefault="008D14CA">
      <w:pPr>
        <w:jc w:val="both"/>
        <w:rPr>
          <w:rFonts w:cs="Arial"/>
        </w:rPr>
      </w:pPr>
      <w:r w:rsidRPr="0022149A">
        <w:rPr>
          <w:rFonts w:cs="Arial"/>
        </w:rPr>
        <w:t xml:space="preserve">Die Vollmacht gilt für alle Instanzen und erstreckt sich auch auf  Neben- und Folgeverfahren aller Art (z.B. Kostenfestsetzungs-, Zwangsvollstreckungs-, Interventions-, Zwangsversteigerungs- Zwangsverwaltungs- und Hinterlegungsverfahren sowie Insolvenz- und Vergleichsverfahren über das Vermögen des Gegners, einschl. Anmeldung von Forderungen zur Insolvenztabelle).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 Die Bevollmächtigten sind von den Beschränkungen des § 181 des Bürgerlichen Gesetzbuches befreit. Ihre bisherige Tätigkeit wird genehmigt. </w:t>
      </w:r>
    </w:p>
    <w:p w:rsidR="008D14CA" w:rsidRPr="0022149A" w:rsidRDefault="008D14CA">
      <w:pPr>
        <w:jc w:val="both"/>
        <w:rPr>
          <w:rFonts w:cs="Arial"/>
        </w:rPr>
      </w:pPr>
    </w:p>
    <w:p w:rsidR="008D14CA" w:rsidRPr="0022149A" w:rsidRDefault="008D14CA">
      <w:pPr>
        <w:jc w:val="both"/>
        <w:rPr>
          <w:rFonts w:cs="Arial"/>
        </w:rPr>
      </w:pPr>
    </w:p>
    <w:p w:rsidR="008D14CA" w:rsidRPr="0022149A" w:rsidRDefault="008D14CA">
      <w:pPr>
        <w:jc w:val="both"/>
        <w:rPr>
          <w:rFonts w:cs="Arial"/>
          <w:sz w:val="20"/>
        </w:rPr>
      </w:pPr>
      <w:r w:rsidRPr="0022149A">
        <w:rPr>
          <w:rFonts w:cs="Arial"/>
          <w:sz w:val="20"/>
        </w:rPr>
        <w:lastRenderedPageBreak/>
        <w:t>Geislingen, den  ........................               .................................................................................</w:t>
      </w:r>
    </w:p>
    <w:p w:rsidR="008D14CA" w:rsidRPr="005D1EDB" w:rsidRDefault="008D14CA">
      <w:pPr>
        <w:jc w:val="both"/>
        <w:rPr>
          <w:rFonts w:ascii="Arial" w:hAnsi="Arial" w:cs="Arial"/>
          <w:sz w:val="20"/>
          <w:szCs w:val="20"/>
        </w:rPr>
      </w:pPr>
      <w:r w:rsidRPr="0022149A">
        <w:rPr>
          <w:rFonts w:cs="Arial"/>
          <w:sz w:val="20"/>
        </w:rPr>
        <w:tab/>
      </w:r>
      <w:r w:rsidRPr="0022149A">
        <w:rPr>
          <w:rFonts w:cs="Arial"/>
          <w:sz w:val="20"/>
        </w:rPr>
        <w:tab/>
      </w:r>
      <w:r w:rsidRPr="0022149A">
        <w:rPr>
          <w:rFonts w:cs="Arial"/>
          <w:sz w:val="20"/>
        </w:rPr>
        <w:tab/>
      </w:r>
      <w:r w:rsidRPr="0022149A">
        <w:rPr>
          <w:rFonts w:cs="Arial"/>
          <w:sz w:val="20"/>
        </w:rPr>
        <w:tab/>
      </w:r>
      <w:r w:rsidRPr="0022149A">
        <w:rPr>
          <w:rFonts w:cs="Arial"/>
          <w:sz w:val="20"/>
        </w:rPr>
        <w:tab/>
        <w:t xml:space="preserve"> </w:t>
      </w:r>
      <w:r>
        <w:rPr>
          <w:rFonts w:cs="Arial"/>
          <w:sz w:val="20"/>
        </w:rPr>
        <w:t xml:space="preserve">       </w:t>
      </w:r>
      <w:r w:rsidRPr="0022149A">
        <w:rPr>
          <w:rFonts w:cs="Arial"/>
          <w:sz w:val="20"/>
        </w:rPr>
        <w:t xml:space="preserve">  </w:t>
      </w:r>
      <w:r w:rsidRPr="005D1EDB">
        <w:rPr>
          <w:rFonts w:cs="Arial"/>
          <w:sz w:val="18"/>
          <w:szCs w:val="20"/>
        </w:rPr>
        <w:t>(Unterschrift Mandant, bzw. gesetzlicher Vertreter)</w:t>
      </w:r>
    </w:p>
    <w:p w:rsidR="00C00FA4" w:rsidRDefault="00C00FA4"/>
    <w:sectPr w:rsidR="00C00FA4" w:rsidSect="0074432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F4FEB"/>
    <w:multiLevelType w:val="hybridMultilevel"/>
    <w:tmpl w:val="514077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R"/>
    <w:docVar w:name="betnr" w:val="12072"/>
    <w:docVar w:name="database" w:val="ADVOWARE"/>
    <w:docVar w:name="history" w:val="Schreiben an Mandant (Hans-Peter Alt)"/>
    <w:docVar w:name="kz" w:val="1"/>
    <w:docVar w:name="musterschriftsatz" w:val="vollmachtbeide.dat"/>
    <w:docVar w:name="nr" w:val="2010000443"/>
    <w:docVar w:name="speichern" w:val="ja"/>
  </w:docVars>
  <w:rsids>
    <w:rsidRoot w:val="008D14CA"/>
    <w:rsid w:val="00170769"/>
    <w:rsid w:val="002960AE"/>
    <w:rsid w:val="00581610"/>
    <w:rsid w:val="0074432F"/>
    <w:rsid w:val="008D14CA"/>
    <w:rsid w:val="009C550E"/>
    <w:rsid w:val="00C00FA4"/>
    <w:rsid w:val="00DA74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2"/>
      <w:szCs w:val="22"/>
    </w:rPr>
  </w:style>
  <w:style w:type="paragraph" w:styleId="berschrift1">
    <w:name w:val="heading 1"/>
    <w:basedOn w:val="Standard"/>
    <w:next w:val="Standard"/>
    <w:link w:val="berschrift1Zchn"/>
    <w:qFormat/>
    <w:rsid w:val="008D14CA"/>
    <w:pPr>
      <w:keepNext/>
      <w:spacing w:line="240" w:lineRule="auto"/>
      <w:outlineLvl w:val="0"/>
    </w:pPr>
    <w:rPr>
      <w:rFonts w:ascii="Times New Roman" w:eastAsia="Times New Roman" w:hAnsi="Times New Roman"/>
      <w:b/>
      <w:bCs/>
      <w:sz w:val="28"/>
      <w:szCs w:val="24"/>
    </w:rPr>
  </w:style>
  <w:style w:type="paragraph" w:styleId="berschrift2">
    <w:name w:val="heading 2"/>
    <w:basedOn w:val="Standard"/>
    <w:next w:val="Standard"/>
    <w:link w:val="berschrift2Zchn"/>
    <w:qFormat/>
    <w:rsid w:val="008D14CA"/>
    <w:pPr>
      <w:keepNext/>
      <w:spacing w:line="240" w:lineRule="auto"/>
      <w:jc w:val="center"/>
      <w:outlineLvl w:val="1"/>
    </w:pPr>
    <w:rPr>
      <w:rFonts w:ascii="Times New Roman" w:eastAsia="Times New Roman" w:hAnsi="Times New Roman"/>
      <w:b/>
      <w:bCs/>
      <w:sz w:val="28"/>
      <w:szCs w:val="24"/>
    </w:rPr>
  </w:style>
  <w:style w:type="paragraph" w:styleId="berschrift3">
    <w:name w:val="heading 3"/>
    <w:basedOn w:val="Standard"/>
    <w:next w:val="Standard"/>
    <w:link w:val="berschrift3Zchn"/>
    <w:qFormat/>
    <w:rsid w:val="008D14CA"/>
    <w:pPr>
      <w:keepNext/>
      <w:spacing w:line="240" w:lineRule="auto"/>
      <w:jc w:val="center"/>
      <w:outlineLvl w:val="2"/>
    </w:pPr>
    <w:rPr>
      <w:rFonts w:ascii="Times New Roman" w:eastAsia="Times New Roman" w:hAnsi="Times New Roman"/>
      <w:b/>
      <w:bCs/>
      <w:sz w:val="24"/>
      <w:szCs w:val="24"/>
    </w:rPr>
  </w:style>
  <w:style w:type="paragraph" w:styleId="berschrift4">
    <w:name w:val="heading 4"/>
    <w:basedOn w:val="Standard"/>
    <w:next w:val="Standard"/>
    <w:link w:val="berschrift4Zchn"/>
    <w:qFormat/>
    <w:rsid w:val="008D14CA"/>
    <w:pPr>
      <w:keepNext/>
      <w:spacing w:line="240" w:lineRule="auto"/>
      <w:jc w:val="center"/>
      <w:outlineLvl w:val="3"/>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14CA"/>
    <w:rPr>
      <w:rFonts w:ascii="Times New Roman" w:eastAsia="Times New Roman" w:hAnsi="Times New Roman"/>
      <w:b/>
      <w:bCs/>
      <w:sz w:val="28"/>
      <w:szCs w:val="24"/>
    </w:rPr>
  </w:style>
  <w:style w:type="character" w:customStyle="1" w:styleId="berschrift2Zchn">
    <w:name w:val="Überschrift 2 Zchn"/>
    <w:basedOn w:val="Absatz-Standardschriftart"/>
    <w:link w:val="berschrift2"/>
    <w:rsid w:val="008D14CA"/>
    <w:rPr>
      <w:rFonts w:ascii="Times New Roman" w:eastAsia="Times New Roman" w:hAnsi="Times New Roman"/>
      <w:b/>
      <w:bCs/>
      <w:sz w:val="28"/>
      <w:szCs w:val="24"/>
    </w:rPr>
  </w:style>
  <w:style w:type="character" w:customStyle="1" w:styleId="berschrift3Zchn">
    <w:name w:val="Überschrift 3 Zchn"/>
    <w:basedOn w:val="Absatz-Standardschriftart"/>
    <w:link w:val="berschrift3"/>
    <w:rsid w:val="008D14CA"/>
    <w:rPr>
      <w:rFonts w:ascii="Times New Roman" w:eastAsia="Times New Roman" w:hAnsi="Times New Roman"/>
      <w:b/>
      <w:bCs/>
      <w:sz w:val="24"/>
      <w:szCs w:val="24"/>
    </w:rPr>
  </w:style>
  <w:style w:type="character" w:customStyle="1" w:styleId="berschrift4Zchn">
    <w:name w:val="Überschrift 4 Zchn"/>
    <w:basedOn w:val="Absatz-Standardschriftart"/>
    <w:link w:val="berschrift4"/>
    <w:rsid w:val="008D14CA"/>
    <w:rPr>
      <w:rFonts w:ascii="Arial" w:eastAsia="Times New Roman" w:hAnsi="Arial" w:cs="Arial"/>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2"/>
      <w:szCs w:val="22"/>
    </w:rPr>
  </w:style>
  <w:style w:type="paragraph" w:styleId="berschrift1">
    <w:name w:val="heading 1"/>
    <w:basedOn w:val="Standard"/>
    <w:next w:val="Standard"/>
    <w:link w:val="berschrift1Zchn"/>
    <w:qFormat/>
    <w:rsid w:val="008D14CA"/>
    <w:pPr>
      <w:keepNext/>
      <w:spacing w:line="240" w:lineRule="auto"/>
      <w:outlineLvl w:val="0"/>
    </w:pPr>
    <w:rPr>
      <w:rFonts w:ascii="Times New Roman" w:eastAsia="Times New Roman" w:hAnsi="Times New Roman"/>
      <w:b/>
      <w:bCs/>
      <w:sz w:val="28"/>
      <w:szCs w:val="24"/>
    </w:rPr>
  </w:style>
  <w:style w:type="paragraph" w:styleId="berschrift2">
    <w:name w:val="heading 2"/>
    <w:basedOn w:val="Standard"/>
    <w:next w:val="Standard"/>
    <w:link w:val="berschrift2Zchn"/>
    <w:qFormat/>
    <w:rsid w:val="008D14CA"/>
    <w:pPr>
      <w:keepNext/>
      <w:spacing w:line="240" w:lineRule="auto"/>
      <w:jc w:val="center"/>
      <w:outlineLvl w:val="1"/>
    </w:pPr>
    <w:rPr>
      <w:rFonts w:ascii="Times New Roman" w:eastAsia="Times New Roman" w:hAnsi="Times New Roman"/>
      <w:b/>
      <w:bCs/>
      <w:sz w:val="28"/>
      <w:szCs w:val="24"/>
    </w:rPr>
  </w:style>
  <w:style w:type="paragraph" w:styleId="berschrift3">
    <w:name w:val="heading 3"/>
    <w:basedOn w:val="Standard"/>
    <w:next w:val="Standard"/>
    <w:link w:val="berschrift3Zchn"/>
    <w:qFormat/>
    <w:rsid w:val="008D14CA"/>
    <w:pPr>
      <w:keepNext/>
      <w:spacing w:line="240" w:lineRule="auto"/>
      <w:jc w:val="center"/>
      <w:outlineLvl w:val="2"/>
    </w:pPr>
    <w:rPr>
      <w:rFonts w:ascii="Times New Roman" w:eastAsia="Times New Roman" w:hAnsi="Times New Roman"/>
      <w:b/>
      <w:bCs/>
      <w:sz w:val="24"/>
      <w:szCs w:val="24"/>
    </w:rPr>
  </w:style>
  <w:style w:type="paragraph" w:styleId="berschrift4">
    <w:name w:val="heading 4"/>
    <w:basedOn w:val="Standard"/>
    <w:next w:val="Standard"/>
    <w:link w:val="berschrift4Zchn"/>
    <w:qFormat/>
    <w:rsid w:val="008D14CA"/>
    <w:pPr>
      <w:keepNext/>
      <w:spacing w:line="240" w:lineRule="auto"/>
      <w:jc w:val="center"/>
      <w:outlineLvl w:val="3"/>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D14CA"/>
    <w:rPr>
      <w:rFonts w:ascii="Times New Roman" w:eastAsia="Times New Roman" w:hAnsi="Times New Roman"/>
      <w:b/>
      <w:bCs/>
      <w:sz w:val="28"/>
      <w:szCs w:val="24"/>
    </w:rPr>
  </w:style>
  <w:style w:type="character" w:customStyle="1" w:styleId="berschrift2Zchn">
    <w:name w:val="Überschrift 2 Zchn"/>
    <w:basedOn w:val="Absatz-Standardschriftart"/>
    <w:link w:val="berschrift2"/>
    <w:rsid w:val="008D14CA"/>
    <w:rPr>
      <w:rFonts w:ascii="Times New Roman" w:eastAsia="Times New Roman" w:hAnsi="Times New Roman"/>
      <w:b/>
      <w:bCs/>
      <w:sz w:val="28"/>
      <w:szCs w:val="24"/>
    </w:rPr>
  </w:style>
  <w:style w:type="character" w:customStyle="1" w:styleId="berschrift3Zchn">
    <w:name w:val="Überschrift 3 Zchn"/>
    <w:basedOn w:val="Absatz-Standardschriftart"/>
    <w:link w:val="berschrift3"/>
    <w:rsid w:val="008D14CA"/>
    <w:rPr>
      <w:rFonts w:ascii="Times New Roman" w:eastAsia="Times New Roman" w:hAnsi="Times New Roman"/>
      <w:b/>
      <w:bCs/>
      <w:sz w:val="24"/>
      <w:szCs w:val="24"/>
    </w:rPr>
  </w:style>
  <w:style w:type="character" w:customStyle="1" w:styleId="berschrift4Zchn">
    <w:name w:val="Überschrift 4 Zchn"/>
    <w:basedOn w:val="Absatz-Standardschriftart"/>
    <w:link w:val="berschrift4"/>
    <w:rsid w:val="008D14CA"/>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voWare\Dot\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1</Pages>
  <Words>241</Words>
  <Characters>1868</Characters>
  <Application>Microsoft Office Word</Application>
  <DocSecurity>0</DocSecurity>
  <Lines>50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R10.docx</dc:title>
  <dc:creator>Thiemo Rosenfeld</dc:creator>
  <cp:keywords>2010000443</cp:keywords>
  <cp:lastModifiedBy>Thiemo Rosenfeld</cp:lastModifiedBy>
  <cp:revision>2</cp:revision>
  <dcterms:created xsi:type="dcterms:W3CDTF">2016-02-02T17:16:00Z</dcterms:created>
  <dcterms:modified xsi:type="dcterms:W3CDTF">2016-02-02T17:16:00Z</dcterms:modified>
</cp:coreProperties>
</file>